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1158" w14:textId="77777777" w:rsidR="001B050B" w:rsidRDefault="003D5E44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AFFILIATED BUSINESS ARRANGEMENT DISCLOSURE</w:t>
      </w:r>
    </w:p>
    <w:p w14:paraId="3C70EDEC" w14:textId="62166C3E" w:rsidR="00654EFA" w:rsidRDefault="003D5E44" w:rsidP="0067656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To (Consumer): _______________________</w:t>
      </w:r>
      <w:r w:rsidR="00654EFA">
        <w:rPr>
          <w:sz w:val="22"/>
          <w:szCs w:val="22"/>
        </w:rPr>
        <w:t>______________________________________________</w:t>
      </w:r>
      <w:r w:rsidR="002C26D8">
        <w:rPr>
          <w:sz w:val="22"/>
          <w:szCs w:val="22"/>
        </w:rPr>
        <w:t>_______</w:t>
      </w:r>
      <w:r w:rsidR="00654EFA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</w:p>
    <w:p w14:paraId="0044645E" w14:textId="0F99C1A2" w:rsidR="003D5E44" w:rsidRDefault="003D5E44" w:rsidP="0067656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Property</w:t>
      </w:r>
      <w:r w:rsidR="00E7005F">
        <w:rPr>
          <w:sz w:val="22"/>
          <w:szCs w:val="22"/>
        </w:rPr>
        <w:t xml:space="preserve"> </w:t>
      </w:r>
      <w:r>
        <w:rPr>
          <w:sz w:val="22"/>
          <w:szCs w:val="22"/>
        </w:rPr>
        <w:t>Address: _</w:t>
      </w:r>
      <w:r w:rsidR="00654EF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</w:t>
      </w:r>
      <w:r w:rsidR="00E7005F">
        <w:rPr>
          <w:sz w:val="22"/>
          <w:szCs w:val="22"/>
        </w:rPr>
        <w:t>_____</w:t>
      </w:r>
      <w:r w:rsidR="002C26D8">
        <w:rPr>
          <w:sz w:val="22"/>
          <w:szCs w:val="22"/>
        </w:rPr>
        <w:t>_______</w:t>
      </w:r>
      <w:r w:rsidR="00E7005F">
        <w:rPr>
          <w:sz w:val="22"/>
          <w:szCs w:val="22"/>
        </w:rPr>
        <w:t>________________</w:t>
      </w:r>
    </w:p>
    <w:p w14:paraId="7BFBC7B1" w14:textId="7B9F3321" w:rsidR="003D5E44" w:rsidRDefault="003D5E44" w:rsidP="0067656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</w:t>
      </w:r>
      <w:r w:rsidR="002C676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Fro</w:t>
      </w:r>
      <w:r w:rsidR="00654EFA">
        <w:rPr>
          <w:sz w:val="22"/>
          <w:szCs w:val="22"/>
        </w:rPr>
        <w:t>m(</w:t>
      </w:r>
      <w:proofErr w:type="gramEnd"/>
      <w:r w:rsidR="00654EFA">
        <w:rPr>
          <w:sz w:val="22"/>
          <w:szCs w:val="22"/>
        </w:rPr>
        <w:t>Agent)</w:t>
      </w:r>
      <w:r>
        <w:rPr>
          <w:sz w:val="22"/>
          <w:szCs w:val="22"/>
        </w:rPr>
        <w:t xml:space="preserve">: </w:t>
      </w:r>
      <w:r w:rsidR="00654EFA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  <w:r w:rsidR="00654EFA">
        <w:rPr>
          <w:sz w:val="22"/>
          <w:szCs w:val="22"/>
        </w:rPr>
        <w:t>_</w:t>
      </w:r>
      <w:r w:rsidR="00B957B5">
        <w:rPr>
          <w:sz w:val="22"/>
          <w:szCs w:val="22"/>
        </w:rPr>
        <w:t xml:space="preserve"> Office:__________________________</w:t>
      </w:r>
      <w:r w:rsidR="002C26D8">
        <w:rPr>
          <w:sz w:val="22"/>
          <w:szCs w:val="22"/>
        </w:rPr>
        <w:t>_______</w:t>
      </w:r>
      <w:r w:rsidR="00B957B5">
        <w:rPr>
          <w:sz w:val="22"/>
          <w:szCs w:val="22"/>
        </w:rPr>
        <w:t>_</w:t>
      </w:r>
    </w:p>
    <w:p w14:paraId="2EF3F551" w14:textId="43F997AA" w:rsidR="001758F7" w:rsidRPr="008935C9" w:rsidRDefault="003D5E44">
      <w:pPr>
        <w:spacing w:before="240" w:after="240"/>
        <w:jc w:val="both"/>
        <w:rPr>
          <w:sz w:val="22"/>
          <w:szCs w:val="22"/>
        </w:rPr>
      </w:pPr>
      <w:r w:rsidRPr="008935C9">
        <w:rPr>
          <w:sz w:val="22"/>
          <w:szCs w:val="22"/>
        </w:rPr>
        <w:t xml:space="preserve">This is to give you notice that </w:t>
      </w:r>
      <w:r w:rsidR="003F3D55" w:rsidRPr="008935C9">
        <w:rPr>
          <w:sz w:val="22"/>
          <w:szCs w:val="22"/>
        </w:rPr>
        <w:t>your real estate office</w:t>
      </w:r>
      <w:r w:rsidRPr="008935C9">
        <w:rPr>
          <w:sz w:val="22"/>
          <w:szCs w:val="22"/>
        </w:rPr>
        <w:t xml:space="preserve"> </w:t>
      </w:r>
      <w:r w:rsidR="001758F7" w:rsidRPr="008935C9">
        <w:rPr>
          <w:sz w:val="22"/>
          <w:szCs w:val="22"/>
        </w:rPr>
        <w:t xml:space="preserve">KW MC 1 Ltd or KW MC 8 Ltd, </w:t>
      </w:r>
      <w:r w:rsidRPr="008935C9">
        <w:rPr>
          <w:sz w:val="22"/>
          <w:szCs w:val="22"/>
        </w:rPr>
        <w:t>(“</w:t>
      </w:r>
      <w:r w:rsidR="001758F7" w:rsidRPr="008935C9">
        <w:rPr>
          <w:sz w:val="22"/>
          <w:szCs w:val="22"/>
        </w:rPr>
        <w:t>Keller Williams Real Estate Offices</w:t>
      </w:r>
      <w:r w:rsidRPr="008935C9">
        <w:rPr>
          <w:sz w:val="22"/>
          <w:szCs w:val="22"/>
        </w:rPr>
        <w:t>”), with which your agent</w:t>
      </w:r>
      <w:r w:rsidR="003F3D55" w:rsidRPr="008935C9">
        <w:rPr>
          <w:sz w:val="22"/>
          <w:szCs w:val="22"/>
        </w:rPr>
        <w:t xml:space="preserve"> and broker</w:t>
      </w:r>
      <w:r w:rsidRPr="008935C9">
        <w:rPr>
          <w:sz w:val="22"/>
          <w:szCs w:val="22"/>
        </w:rPr>
        <w:t xml:space="preserve"> is affiliated, has a business relationship</w:t>
      </w:r>
      <w:r w:rsidR="001758F7" w:rsidRPr="008935C9">
        <w:rPr>
          <w:sz w:val="22"/>
          <w:szCs w:val="22"/>
        </w:rPr>
        <w:t xml:space="preserve"> and ownership interest ranging from an estimated 1</w:t>
      </w:r>
      <w:r w:rsidR="001A3006" w:rsidRPr="008935C9">
        <w:rPr>
          <w:sz w:val="22"/>
          <w:szCs w:val="22"/>
        </w:rPr>
        <w:t>%</w:t>
      </w:r>
      <w:r w:rsidR="001758F7" w:rsidRPr="008935C9">
        <w:rPr>
          <w:sz w:val="22"/>
          <w:szCs w:val="22"/>
        </w:rPr>
        <w:t xml:space="preserve"> to </w:t>
      </w:r>
      <w:r w:rsidR="009C73F6" w:rsidRPr="008935C9">
        <w:rPr>
          <w:sz w:val="22"/>
          <w:szCs w:val="22"/>
        </w:rPr>
        <w:t>9</w:t>
      </w:r>
      <w:r w:rsidR="001758F7" w:rsidRPr="008935C9">
        <w:rPr>
          <w:sz w:val="22"/>
          <w:szCs w:val="22"/>
        </w:rPr>
        <w:t xml:space="preserve">% </w:t>
      </w:r>
      <w:r w:rsidR="006B63BB" w:rsidRPr="008935C9">
        <w:rPr>
          <w:sz w:val="22"/>
          <w:szCs w:val="22"/>
        </w:rPr>
        <w:t>in</w:t>
      </w:r>
      <w:r w:rsidR="003F3D55" w:rsidRPr="008935C9">
        <w:rPr>
          <w:sz w:val="22"/>
          <w:szCs w:val="22"/>
        </w:rPr>
        <w:t xml:space="preserve"> </w:t>
      </w:r>
      <w:r w:rsidR="002E4434">
        <w:rPr>
          <w:sz w:val="22"/>
          <w:szCs w:val="22"/>
        </w:rPr>
        <w:t xml:space="preserve">Texas One Title, LLC, </w:t>
      </w:r>
      <w:r w:rsidR="00712C8E" w:rsidRPr="008935C9">
        <w:rPr>
          <w:sz w:val="22"/>
          <w:szCs w:val="22"/>
        </w:rPr>
        <w:t>Primrose Title</w:t>
      </w:r>
      <w:r w:rsidRPr="008935C9">
        <w:rPr>
          <w:sz w:val="22"/>
          <w:szCs w:val="22"/>
        </w:rPr>
        <w:t xml:space="preserve">, LLC </w:t>
      </w:r>
      <w:r w:rsidR="003F3D55" w:rsidRPr="008935C9">
        <w:rPr>
          <w:sz w:val="22"/>
          <w:szCs w:val="22"/>
        </w:rPr>
        <w:t>and</w:t>
      </w:r>
      <w:r w:rsidR="001758F7" w:rsidRPr="008935C9">
        <w:rPr>
          <w:sz w:val="22"/>
          <w:szCs w:val="22"/>
        </w:rPr>
        <w:t>/or</w:t>
      </w:r>
      <w:r w:rsidR="003F3D55" w:rsidRPr="008935C9">
        <w:rPr>
          <w:sz w:val="22"/>
          <w:szCs w:val="22"/>
        </w:rPr>
        <w:t xml:space="preserve"> Texas Living Title, LLC</w:t>
      </w:r>
      <w:r w:rsidRPr="008935C9">
        <w:rPr>
          <w:sz w:val="22"/>
          <w:szCs w:val="22"/>
        </w:rPr>
        <w:t xml:space="preserve"> (“</w:t>
      </w:r>
      <w:r w:rsidR="003F3D55" w:rsidRPr="008935C9">
        <w:rPr>
          <w:sz w:val="22"/>
          <w:szCs w:val="22"/>
        </w:rPr>
        <w:t>Title Companies</w:t>
      </w:r>
      <w:r w:rsidRPr="008935C9">
        <w:rPr>
          <w:sz w:val="22"/>
          <w:szCs w:val="22"/>
        </w:rPr>
        <w:t>”)</w:t>
      </w:r>
      <w:r w:rsidR="001758F7" w:rsidRPr="008935C9">
        <w:rPr>
          <w:sz w:val="22"/>
          <w:szCs w:val="22"/>
        </w:rPr>
        <w:t>. Your agent</w:t>
      </w:r>
      <w:r w:rsidR="00F8676E" w:rsidRPr="008935C9">
        <w:rPr>
          <w:sz w:val="22"/>
          <w:szCs w:val="22"/>
        </w:rPr>
        <w:t xml:space="preserve"> or broker</w:t>
      </w:r>
      <w:r w:rsidR="001758F7" w:rsidRPr="008935C9">
        <w:rPr>
          <w:sz w:val="22"/>
          <w:szCs w:val="22"/>
        </w:rPr>
        <w:t xml:space="preserve"> may also have an ownership</w:t>
      </w:r>
      <w:r w:rsidR="00F8676E" w:rsidRPr="008935C9">
        <w:rPr>
          <w:sz w:val="22"/>
          <w:szCs w:val="22"/>
        </w:rPr>
        <w:t xml:space="preserve"> interest</w:t>
      </w:r>
      <w:r w:rsidR="001758F7" w:rsidRPr="008935C9">
        <w:rPr>
          <w:sz w:val="22"/>
          <w:szCs w:val="22"/>
        </w:rPr>
        <w:t xml:space="preserve"> in Title Companies ranging from an estimated 1% to</w:t>
      </w:r>
      <w:r w:rsidR="008C2CD4" w:rsidRPr="008935C9">
        <w:rPr>
          <w:sz w:val="22"/>
          <w:szCs w:val="22"/>
        </w:rPr>
        <w:t xml:space="preserve"> </w:t>
      </w:r>
      <w:r w:rsidR="001A3006" w:rsidRPr="008935C9">
        <w:rPr>
          <w:sz w:val="22"/>
          <w:szCs w:val="22"/>
        </w:rPr>
        <w:t>5</w:t>
      </w:r>
      <w:r w:rsidR="001758F7" w:rsidRPr="008935C9">
        <w:rPr>
          <w:sz w:val="22"/>
          <w:szCs w:val="22"/>
        </w:rPr>
        <w:t>%.</w:t>
      </w:r>
      <w:r w:rsidR="00434320" w:rsidRPr="008935C9">
        <w:rPr>
          <w:sz w:val="22"/>
          <w:szCs w:val="22"/>
        </w:rPr>
        <w:t xml:space="preserve">  Because of these relationships, this referral may provide Keller Williams Real Estate Offices, agents, and/or owners of Title </w:t>
      </w:r>
      <w:proofErr w:type="gramStart"/>
      <w:r w:rsidR="00434320" w:rsidRPr="008935C9">
        <w:rPr>
          <w:sz w:val="22"/>
          <w:szCs w:val="22"/>
        </w:rPr>
        <w:t>Companies</w:t>
      </w:r>
      <w:proofErr w:type="gramEnd"/>
      <w:r w:rsidR="00434320" w:rsidRPr="008935C9">
        <w:rPr>
          <w:sz w:val="22"/>
          <w:szCs w:val="22"/>
        </w:rPr>
        <w:t xml:space="preserve"> a financial or other benefit.</w:t>
      </w:r>
      <w:r w:rsidR="001758F7" w:rsidRPr="008935C9">
        <w:rPr>
          <w:sz w:val="22"/>
          <w:szCs w:val="22"/>
        </w:rPr>
        <w:t xml:space="preserve"> </w:t>
      </w:r>
      <w:r w:rsidR="008C2CD4" w:rsidRPr="008935C9">
        <w:rPr>
          <w:sz w:val="22"/>
          <w:szCs w:val="22"/>
        </w:rPr>
        <w:t>Keller Williams Realty, Inc. (</w:t>
      </w:r>
      <w:r w:rsidR="00CD7084" w:rsidRPr="008935C9">
        <w:rPr>
          <w:sz w:val="22"/>
          <w:szCs w:val="22"/>
        </w:rPr>
        <w:t>"</w:t>
      </w:r>
      <w:r w:rsidR="008C2CD4" w:rsidRPr="008935C9">
        <w:rPr>
          <w:sz w:val="22"/>
          <w:szCs w:val="22"/>
        </w:rPr>
        <w:t>KWRI</w:t>
      </w:r>
      <w:r w:rsidR="00CD7084" w:rsidRPr="008935C9">
        <w:rPr>
          <w:sz w:val="22"/>
          <w:szCs w:val="22"/>
        </w:rPr>
        <w:t>”</w:t>
      </w:r>
      <w:r w:rsidR="008C2CD4" w:rsidRPr="008935C9">
        <w:rPr>
          <w:sz w:val="22"/>
          <w:szCs w:val="22"/>
        </w:rPr>
        <w:t xml:space="preserve">), which is the franchisor of Keller Williams </w:t>
      </w:r>
      <w:r w:rsidR="00D26E48" w:rsidRPr="008935C9">
        <w:rPr>
          <w:sz w:val="22"/>
          <w:szCs w:val="22"/>
        </w:rPr>
        <w:t>Real Estate Offices has a business relati</w:t>
      </w:r>
      <w:r w:rsidR="001A3006" w:rsidRPr="008935C9">
        <w:rPr>
          <w:sz w:val="22"/>
          <w:szCs w:val="22"/>
        </w:rPr>
        <w:t xml:space="preserve">onship with Keller Williams Real Estate Offices with which your agent and broker </w:t>
      </w:r>
      <w:proofErr w:type="gramStart"/>
      <w:r w:rsidR="001A3006" w:rsidRPr="008935C9">
        <w:rPr>
          <w:sz w:val="22"/>
          <w:szCs w:val="22"/>
        </w:rPr>
        <w:t>is</w:t>
      </w:r>
      <w:proofErr w:type="gramEnd"/>
      <w:r w:rsidR="001A3006" w:rsidRPr="008935C9">
        <w:rPr>
          <w:sz w:val="22"/>
          <w:szCs w:val="22"/>
        </w:rPr>
        <w:t xml:space="preserve"> affiliated. Certain officers and </w:t>
      </w:r>
      <w:proofErr w:type="gramStart"/>
      <w:r w:rsidR="001A3006" w:rsidRPr="008935C9">
        <w:rPr>
          <w:sz w:val="22"/>
          <w:szCs w:val="22"/>
        </w:rPr>
        <w:t>directors,</w:t>
      </w:r>
      <w:proofErr w:type="gramEnd"/>
      <w:r w:rsidR="001A3006" w:rsidRPr="008935C9">
        <w:rPr>
          <w:sz w:val="22"/>
          <w:szCs w:val="22"/>
        </w:rPr>
        <w:t xml:space="preserve"> of KWRI, have an indirect ownership in the Real Estate Offices ranging from an estimated 1 to 1</w:t>
      </w:r>
      <w:r w:rsidR="007D0289" w:rsidRPr="008935C9">
        <w:rPr>
          <w:sz w:val="22"/>
          <w:szCs w:val="22"/>
        </w:rPr>
        <w:t>5</w:t>
      </w:r>
      <w:r w:rsidR="001A3006" w:rsidRPr="008935C9">
        <w:rPr>
          <w:sz w:val="22"/>
          <w:szCs w:val="22"/>
        </w:rPr>
        <w:t>%.</w:t>
      </w:r>
      <w:r w:rsidR="00434320" w:rsidRPr="008935C9">
        <w:rPr>
          <w:sz w:val="22"/>
          <w:szCs w:val="22"/>
        </w:rPr>
        <w:t xml:space="preserve"> </w:t>
      </w:r>
      <w:r w:rsidR="00A82B37" w:rsidRPr="008935C9">
        <w:rPr>
          <w:sz w:val="22"/>
          <w:szCs w:val="22"/>
        </w:rPr>
        <w:t>KWRI also has a business relationship with City View Home Lending, Keller Mortgage, and Keller Covered to which it is affiliated.</w:t>
      </w:r>
      <w:r w:rsidR="00434320" w:rsidRPr="008935C9">
        <w:rPr>
          <w:sz w:val="22"/>
          <w:szCs w:val="22"/>
        </w:rPr>
        <w:t xml:space="preserve"> Because of these relationships, this referral may provide KWRI </w:t>
      </w:r>
      <w:r w:rsidR="00A82B37" w:rsidRPr="008935C9">
        <w:rPr>
          <w:sz w:val="22"/>
          <w:szCs w:val="22"/>
        </w:rPr>
        <w:t xml:space="preserve">owners, </w:t>
      </w:r>
      <w:r w:rsidR="00434320" w:rsidRPr="008935C9">
        <w:rPr>
          <w:sz w:val="22"/>
          <w:szCs w:val="22"/>
        </w:rPr>
        <w:t>officers or directors a financial or other benefit.</w:t>
      </w:r>
    </w:p>
    <w:p w14:paraId="1F404C51" w14:textId="4F41D186" w:rsidR="001B050B" w:rsidRPr="00983841" w:rsidRDefault="0057022D" w:rsidP="000C54A8">
      <w:pPr>
        <w:spacing w:before="240" w:after="240"/>
        <w:jc w:val="both"/>
        <w:rPr>
          <w:sz w:val="22"/>
          <w:szCs w:val="22"/>
        </w:rPr>
      </w:pPr>
      <w:r w:rsidRPr="008935C9">
        <w:rPr>
          <w:sz w:val="22"/>
          <w:szCs w:val="22"/>
        </w:rPr>
        <w:t xml:space="preserve">Notice is also given for </w:t>
      </w:r>
      <w:r w:rsidR="008C2CD4" w:rsidRPr="008935C9">
        <w:rPr>
          <w:sz w:val="22"/>
          <w:szCs w:val="22"/>
        </w:rPr>
        <w:t>Shaddock Holdings, LLC</w:t>
      </w:r>
      <w:r w:rsidR="00CD7084" w:rsidRPr="008935C9">
        <w:rPr>
          <w:sz w:val="22"/>
          <w:szCs w:val="22"/>
        </w:rPr>
        <w:t xml:space="preserve"> (“Shaddock”), wh</w:t>
      </w:r>
      <w:r w:rsidRPr="008935C9">
        <w:rPr>
          <w:sz w:val="22"/>
          <w:szCs w:val="22"/>
        </w:rPr>
        <w:t>ich</w:t>
      </w:r>
      <w:r w:rsidR="00CD7084" w:rsidRPr="008935C9">
        <w:rPr>
          <w:sz w:val="22"/>
          <w:szCs w:val="22"/>
        </w:rPr>
        <w:t xml:space="preserve"> also owns 51% of </w:t>
      </w:r>
      <w:r w:rsidR="003F3D55" w:rsidRPr="008935C9">
        <w:rPr>
          <w:sz w:val="22"/>
          <w:szCs w:val="22"/>
        </w:rPr>
        <w:t>Title Companies</w:t>
      </w:r>
      <w:r w:rsidRPr="008935C9">
        <w:rPr>
          <w:sz w:val="22"/>
          <w:szCs w:val="22"/>
        </w:rPr>
        <w:t xml:space="preserve"> and Capital Title, LLC (“CTOT”)</w:t>
      </w:r>
      <w:r w:rsidR="008C2CD4" w:rsidRPr="008935C9">
        <w:rPr>
          <w:sz w:val="22"/>
          <w:szCs w:val="22"/>
        </w:rPr>
        <w:t>.</w:t>
      </w:r>
      <w:r w:rsidRPr="008935C9">
        <w:rPr>
          <w:sz w:val="22"/>
          <w:szCs w:val="22"/>
        </w:rPr>
        <w:t xml:space="preserve">  </w:t>
      </w:r>
      <w:proofErr w:type="gramStart"/>
      <w:r w:rsidRPr="008935C9">
        <w:rPr>
          <w:sz w:val="22"/>
          <w:szCs w:val="22"/>
        </w:rPr>
        <w:t>CTOT,</w:t>
      </w:r>
      <w:proofErr w:type="gramEnd"/>
      <w:r w:rsidRPr="008935C9">
        <w:rPr>
          <w:sz w:val="22"/>
          <w:szCs w:val="22"/>
        </w:rPr>
        <w:t xml:space="preserve"> has a business relationship with UNITED TAX SERVICE, INC.; UNITED E-RECORDING, LLC; PREMIER SURVEYING, LLC; CAMBRIDGE INSURANCE AGENCY, LLC; WILLOWBEND MORTGAGE COMPANY, LLC; SHADDOCK &amp; ASSOCIATES, PC; with ownership ranging from 1% to 100%.  CTOT also has a business relationship with First National Title Insurance Company, which is a title insurance underwriting company</w:t>
      </w:r>
      <w:r w:rsidR="00983841" w:rsidRPr="008935C9">
        <w:rPr>
          <w:sz w:val="22"/>
          <w:szCs w:val="22"/>
        </w:rPr>
        <w:t xml:space="preserve"> to which CTOT is affiliated. </w:t>
      </w:r>
      <w:r w:rsidR="008967C9" w:rsidRPr="008935C9">
        <w:rPr>
          <w:sz w:val="22"/>
          <w:szCs w:val="22"/>
        </w:rPr>
        <w:t xml:space="preserve">Because of this relationship, this referral may provide </w:t>
      </w:r>
      <w:r w:rsidRPr="008935C9">
        <w:rPr>
          <w:sz w:val="22"/>
          <w:szCs w:val="22"/>
        </w:rPr>
        <w:t xml:space="preserve">Shaddock Holdings, </w:t>
      </w:r>
      <w:proofErr w:type="gramStart"/>
      <w:r w:rsidRPr="008935C9">
        <w:rPr>
          <w:sz w:val="22"/>
          <w:szCs w:val="22"/>
        </w:rPr>
        <w:t>LLC</w:t>
      </w:r>
      <w:proofErr w:type="gramEnd"/>
      <w:r w:rsidR="008967C9" w:rsidRPr="008935C9">
        <w:rPr>
          <w:sz w:val="22"/>
          <w:szCs w:val="22"/>
        </w:rPr>
        <w:t xml:space="preserve"> a financial or other benefit.</w:t>
      </w:r>
    </w:p>
    <w:p w14:paraId="581DDEC3" w14:textId="77777777" w:rsidR="001B050B" w:rsidRDefault="003D5E44" w:rsidP="000C54A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Set forth below is the estimated charge or range of charges for the settlement services listed.  You are NOT required to use the listed providers as a condition for settlement of your loan on </w:t>
      </w:r>
      <w:proofErr w:type="gramStart"/>
      <w:r>
        <w:rPr>
          <w:color w:val="000000"/>
          <w:sz w:val="22"/>
          <w:szCs w:val="22"/>
        </w:rPr>
        <w:t>or</w:t>
      </w:r>
      <w:proofErr w:type="gramEnd"/>
      <w:r>
        <w:rPr>
          <w:color w:val="000000"/>
          <w:sz w:val="22"/>
          <w:szCs w:val="22"/>
        </w:rPr>
        <w:t xml:space="preserve"> purchase, sale, or refinance of the subject property.  THERE ARE FREQUENTLY OTHER SETTLEMENT SERVICE PROVIDERS AVAILABLE WITH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SIMILAR SERVICES.   YOU ARE FREE TO SHOP AROUND TO DETERMINE THAT YOU ARE RECEIVING THE BEST SERVICES AND THE BEST RATE FOR THESE SERVICES.</w:t>
      </w:r>
    </w:p>
    <w:tbl>
      <w:tblPr>
        <w:tblStyle w:val="a3"/>
        <w:tblW w:w="10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3651"/>
        <w:gridCol w:w="3651"/>
      </w:tblGrid>
      <w:tr w:rsidR="001B050B" w14:paraId="4850CDE0" w14:textId="77777777" w:rsidTr="008C674F">
        <w:trPr>
          <w:trHeight w:val="282"/>
        </w:trPr>
        <w:tc>
          <w:tcPr>
            <w:tcW w:w="3651" w:type="dxa"/>
            <w:shd w:val="clear" w:color="auto" w:fill="D9D9D9"/>
          </w:tcPr>
          <w:p w14:paraId="0CF7C39F" w14:textId="77777777" w:rsidR="001B050B" w:rsidRDefault="003D5E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Service Provider</w:t>
            </w:r>
          </w:p>
        </w:tc>
        <w:tc>
          <w:tcPr>
            <w:tcW w:w="3651" w:type="dxa"/>
            <w:shd w:val="clear" w:color="auto" w:fill="D9D9D9"/>
          </w:tcPr>
          <w:p w14:paraId="18187578" w14:textId="77777777" w:rsidR="001B050B" w:rsidRDefault="003D5E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Services Provided</w:t>
            </w:r>
          </w:p>
        </w:tc>
        <w:tc>
          <w:tcPr>
            <w:tcW w:w="3651" w:type="dxa"/>
            <w:shd w:val="clear" w:color="auto" w:fill="D9D9D9"/>
          </w:tcPr>
          <w:p w14:paraId="7D5F33BD" w14:textId="77777777" w:rsidR="001B050B" w:rsidRDefault="003D5E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Charge or Range of Charges</w:t>
            </w:r>
          </w:p>
        </w:tc>
      </w:tr>
      <w:tr w:rsidR="001B050B" w14:paraId="72E3CC49" w14:textId="77777777" w:rsidTr="008C674F">
        <w:trPr>
          <w:trHeight w:val="282"/>
        </w:trPr>
        <w:tc>
          <w:tcPr>
            <w:tcW w:w="3651" w:type="dxa"/>
          </w:tcPr>
          <w:p w14:paraId="6AE0F4ED" w14:textId="1C43E1F3" w:rsidR="001B050B" w:rsidRDefault="00AF2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Primrose</w:t>
            </w:r>
            <w:r w:rsidR="003F3D55">
              <w:rPr>
                <w:sz w:val="22"/>
                <w:szCs w:val="22"/>
              </w:rPr>
              <w:t xml:space="preserve"> Title</w:t>
            </w:r>
            <w:r w:rsidR="003D5E44">
              <w:rPr>
                <w:sz w:val="22"/>
                <w:szCs w:val="22"/>
              </w:rPr>
              <w:t>, LLC</w:t>
            </w:r>
          </w:p>
          <w:p w14:paraId="2DAE2221" w14:textId="77777777" w:rsidR="003F3D55" w:rsidRDefault="003F3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Living Title, LLC</w:t>
            </w:r>
          </w:p>
          <w:p w14:paraId="3EF7D0A4" w14:textId="77777777" w:rsidR="0057022D" w:rsidRDefault="0057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Title, LLC</w:t>
            </w:r>
          </w:p>
          <w:p w14:paraId="5EF6D9B9" w14:textId="6A01B817" w:rsidR="00631E10" w:rsidRDefault="00631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One Title, LLC</w:t>
            </w:r>
          </w:p>
        </w:tc>
        <w:tc>
          <w:tcPr>
            <w:tcW w:w="3651" w:type="dxa"/>
          </w:tcPr>
          <w:p w14:paraId="3F0B75C2" w14:textId="77777777" w:rsidR="001B050B" w:rsidRDefault="003D5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Operations</w:t>
            </w:r>
          </w:p>
        </w:tc>
        <w:tc>
          <w:tcPr>
            <w:tcW w:w="3651" w:type="dxa"/>
          </w:tcPr>
          <w:p w14:paraId="35B16E5E" w14:textId="77777777" w:rsidR="001B050B" w:rsidRDefault="003D5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of loan amount</w:t>
            </w:r>
          </w:p>
        </w:tc>
      </w:tr>
      <w:tr w:rsidR="001B050B" w14:paraId="0C04067C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746112E0" w14:textId="77777777" w:rsidR="001B050B" w:rsidRDefault="003D5E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City View Home Lending</w:t>
            </w:r>
          </w:p>
        </w:tc>
        <w:tc>
          <w:tcPr>
            <w:tcW w:w="3651" w:type="dxa"/>
          </w:tcPr>
          <w:p w14:paraId="4B1E1F53" w14:textId="733FED68" w:rsidR="001B050B" w:rsidRDefault="003D5E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Mortgage </w:t>
            </w:r>
            <w:r>
              <w:rPr>
                <w:sz w:val="22"/>
                <w:szCs w:val="22"/>
              </w:rPr>
              <w:t>Broker</w:t>
            </w:r>
            <w:r w:rsidR="00CB2879">
              <w:rPr>
                <w:sz w:val="22"/>
                <w:szCs w:val="22"/>
              </w:rPr>
              <w:t xml:space="preserve"> Lending</w:t>
            </w:r>
            <w:r>
              <w:rPr>
                <w:sz w:val="22"/>
                <w:szCs w:val="22"/>
              </w:rPr>
              <w:t xml:space="preserve"> Services</w:t>
            </w:r>
          </w:p>
        </w:tc>
        <w:tc>
          <w:tcPr>
            <w:tcW w:w="3651" w:type="dxa"/>
          </w:tcPr>
          <w:p w14:paraId="5DA4880B" w14:textId="77777777" w:rsidR="001B050B" w:rsidRDefault="003D5E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1-3.5% of loan amount</w:t>
            </w:r>
          </w:p>
        </w:tc>
      </w:tr>
      <w:tr w:rsidR="00CD7084" w14:paraId="1A951E2C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4C1B8EAB" w14:textId="77777777" w:rsidR="00CD7084" w:rsidRDefault="00CD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Keller Mortgage</w:t>
            </w:r>
          </w:p>
          <w:p w14:paraId="3CFFB6C5" w14:textId="7D0362C6" w:rsidR="00983841" w:rsidRDefault="009838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Willowbend</w:t>
            </w:r>
            <w:proofErr w:type="spellEnd"/>
            <w:r>
              <w:rPr>
                <w:sz w:val="22"/>
                <w:szCs w:val="22"/>
              </w:rPr>
              <w:t xml:space="preserve"> Mortgage</w:t>
            </w:r>
          </w:p>
        </w:tc>
        <w:tc>
          <w:tcPr>
            <w:tcW w:w="3651" w:type="dxa"/>
          </w:tcPr>
          <w:p w14:paraId="3913777D" w14:textId="5B8AD000" w:rsidR="00CD7084" w:rsidRDefault="00CD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Mortgage Lender</w:t>
            </w:r>
          </w:p>
        </w:tc>
        <w:tc>
          <w:tcPr>
            <w:tcW w:w="3651" w:type="dxa"/>
          </w:tcPr>
          <w:p w14:paraId="3ADBBAAC" w14:textId="28BE6E8E" w:rsidR="00CD7084" w:rsidRDefault="00CD70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1-6% of loan amount</w:t>
            </w:r>
          </w:p>
        </w:tc>
      </w:tr>
      <w:tr w:rsidR="003F3D55" w14:paraId="169A5C9E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27AD14C3" w14:textId="594CB0B8" w:rsidR="003F3D55" w:rsidRPr="00E47794" w:rsidRDefault="003F3D55">
            <w:pPr>
              <w:rPr>
                <w:sz w:val="22"/>
                <w:szCs w:val="22"/>
              </w:rPr>
            </w:pPr>
            <w:r w:rsidRPr="00E47794">
              <w:rPr>
                <w:sz w:val="22"/>
                <w:szCs w:val="22"/>
              </w:rPr>
              <w:t>Keller Covered</w:t>
            </w:r>
          </w:p>
          <w:p w14:paraId="41183843" w14:textId="417813F8" w:rsidR="00983841" w:rsidRDefault="00983841">
            <w:pPr>
              <w:rPr>
                <w:sz w:val="22"/>
                <w:szCs w:val="22"/>
              </w:rPr>
            </w:pPr>
            <w:r w:rsidRPr="00E47794">
              <w:rPr>
                <w:sz w:val="22"/>
                <w:szCs w:val="22"/>
              </w:rPr>
              <w:t>Cambridge Insurance Agency, LLC</w:t>
            </w:r>
          </w:p>
        </w:tc>
        <w:tc>
          <w:tcPr>
            <w:tcW w:w="3651" w:type="dxa"/>
          </w:tcPr>
          <w:p w14:paraId="59333595" w14:textId="4D705858" w:rsidR="003F3D55" w:rsidRDefault="003F3D5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Home Owners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Insurance</w:t>
            </w:r>
          </w:p>
        </w:tc>
        <w:tc>
          <w:tcPr>
            <w:tcW w:w="3651" w:type="dxa"/>
          </w:tcPr>
          <w:p w14:paraId="1C9B8DC4" w14:textId="1A93407E" w:rsidR="00CB2879" w:rsidRDefault="00CB28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1-2% of property value</w:t>
            </w:r>
          </w:p>
        </w:tc>
      </w:tr>
      <w:tr w:rsidR="00983841" w14:paraId="76942F29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232EF56A" w14:textId="5B99E751" w:rsidR="00983841" w:rsidRDefault="00983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Tax Service, Inc.</w:t>
            </w:r>
          </w:p>
        </w:tc>
        <w:tc>
          <w:tcPr>
            <w:tcW w:w="3651" w:type="dxa"/>
          </w:tcPr>
          <w:p w14:paraId="5B89A465" w14:textId="211FD2CF" w:rsidR="00983841" w:rsidRDefault="00983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 Certificates</w:t>
            </w:r>
          </w:p>
        </w:tc>
        <w:tc>
          <w:tcPr>
            <w:tcW w:w="3651" w:type="dxa"/>
          </w:tcPr>
          <w:p w14:paraId="4A749C12" w14:textId="41E13E3D" w:rsidR="00983841" w:rsidRDefault="009838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$59.80-79.80</w:t>
            </w:r>
          </w:p>
        </w:tc>
      </w:tr>
      <w:tr w:rsidR="00983841" w14:paraId="3B6C56C1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4D8DA366" w14:textId="20B5EB7C" w:rsidR="00983841" w:rsidRDefault="00983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E-Recording</w:t>
            </w:r>
          </w:p>
        </w:tc>
        <w:tc>
          <w:tcPr>
            <w:tcW w:w="3651" w:type="dxa"/>
          </w:tcPr>
          <w:p w14:paraId="4DC25878" w14:textId="7E18FD9C" w:rsidR="00983841" w:rsidRDefault="00983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Electronic document recordation</w:t>
            </w:r>
          </w:p>
        </w:tc>
        <w:tc>
          <w:tcPr>
            <w:tcW w:w="3651" w:type="dxa"/>
          </w:tcPr>
          <w:p w14:paraId="33C8DA52" w14:textId="6C932250" w:rsidR="00983841" w:rsidRDefault="009838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$4.00-$10.00 per recorded document</w:t>
            </w:r>
          </w:p>
        </w:tc>
      </w:tr>
      <w:tr w:rsidR="00983841" w14:paraId="3BC58B80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0CD38C40" w14:textId="56BE3957" w:rsidR="00983841" w:rsidRDefault="00983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Premier Surveying, LLC</w:t>
            </w:r>
          </w:p>
        </w:tc>
        <w:tc>
          <w:tcPr>
            <w:tcW w:w="3651" w:type="dxa"/>
          </w:tcPr>
          <w:p w14:paraId="2AB83AE2" w14:textId="003AAED0" w:rsidR="00983841" w:rsidRDefault="00983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Surveyor</w:t>
            </w:r>
          </w:p>
        </w:tc>
        <w:tc>
          <w:tcPr>
            <w:tcW w:w="3651" w:type="dxa"/>
          </w:tcPr>
          <w:p w14:paraId="78B7BC73" w14:textId="60018F78" w:rsidR="00983841" w:rsidRPr="00983841" w:rsidRDefault="00E4779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47794">
              <w:rPr>
                <w:color w:val="000000"/>
                <w:sz w:val="22"/>
                <w:szCs w:val="22"/>
              </w:rPr>
              <w:t>$400-1500</w:t>
            </w:r>
          </w:p>
        </w:tc>
      </w:tr>
      <w:tr w:rsidR="00983841" w14:paraId="710A22EC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2AB68965" w14:textId="2743F503" w:rsidR="00983841" w:rsidRDefault="00983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Shaddock </w:t>
            </w:r>
            <w:r w:rsidR="00301410">
              <w:rPr>
                <w:sz w:val="22"/>
                <w:szCs w:val="22"/>
              </w:rPr>
              <w:t>&amp; Associates</w:t>
            </w:r>
          </w:p>
        </w:tc>
        <w:tc>
          <w:tcPr>
            <w:tcW w:w="3651" w:type="dxa"/>
          </w:tcPr>
          <w:p w14:paraId="37C1A74E" w14:textId="509F69EE" w:rsidR="00983841" w:rsidRPr="00E47794" w:rsidRDefault="00301410">
            <w:pPr>
              <w:rPr>
                <w:color w:val="000000"/>
                <w:sz w:val="22"/>
                <w:szCs w:val="22"/>
              </w:rPr>
            </w:pPr>
            <w:r w:rsidRPr="00E47794">
              <w:rPr>
                <w:color w:val="000000"/>
                <w:sz w:val="22"/>
                <w:szCs w:val="22"/>
              </w:rPr>
              <w:t>Document Preparation</w:t>
            </w:r>
          </w:p>
        </w:tc>
        <w:tc>
          <w:tcPr>
            <w:tcW w:w="3651" w:type="dxa"/>
          </w:tcPr>
          <w:p w14:paraId="1B3C3D58" w14:textId="1FDAEE8D" w:rsidR="00983841" w:rsidRPr="00E47794" w:rsidRDefault="00983841">
            <w:pPr>
              <w:jc w:val="both"/>
              <w:rPr>
                <w:color w:val="000000"/>
                <w:sz w:val="22"/>
                <w:szCs w:val="22"/>
              </w:rPr>
            </w:pPr>
            <w:r w:rsidRPr="00E47794">
              <w:rPr>
                <w:color w:val="000000"/>
                <w:sz w:val="22"/>
                <w:szCs w:val="22"/>
              </w:rPr>
              <w:t>$</w:t>
            </w:r>
            <w:r w:rsidR="00E47794" w:rsidRPr="00E47794">
              <w:rPr>
                <w:color w:val="000000"/>
                <w:sz w:val="22"/>
                <w:szCs w:val="22"/>
              </w:rPr>
              <w:t>75-$425</w:t>
            </w:r>
          </w:p>
        </w:tc>
      </w:tr>
      <w:tr w:rsidR="00983841" w14:paraId="04A1FC69" w14:textId="77777777" w:rsidTr="008C674F">
        <w:trPr>
          <w:trHeight w:val="282"/>
        </w:trPr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14:paraId="244D1F0E" w14:textId="5C642F21" w:rsidR="00A1318E" w:rsidRDefault="00983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National Title Insurance Agency</w:t>
            </w:r>
          </w:p>
        </w:tc>
        <w:tc>
          <w:tcPr>
            <w:tcW w:w="3651" w:type="dxa"/>
          </w:tcPr>
          <w:p w14:paraId="3DAD2CB6" w14:textId="0ADF8B31" w:rsidR="00983841" w:rsidRDefault="00983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Insurance</w:t>
            </w:r>
          </w:p>
        </w:tc>
        <w:tc>
          <w:tcPr>
            <w:tcW w:w="3651" w:type="dxa"/>
          </w:tcPr>
          <w:p w14:paraId="379906AD" w14:textId="7081F556" w:rsidR="00983841" w:rsidRDefault="003014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15% of Title Insurance Premium</w:t>
            </w:r>
          </w:p>
        </w:tc>
      </w:tr>
    </w:tbl>
    <w:p w14:paraId="7C37BF2D" w14:textId="77777777" w:rsidR="001B050B" w:rsidRDefault="001B050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1AE15B7" w14:textId="77777777" w:rsidR="001B050B" w:rsidRDefault="003D5E44" w:rsidP="00631E1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ACKNOWLEDGMENT</w:t>
      </w:r>
    </w:p>
    <w:p w14:paraId="6F4497D9" w14:textId="77777777" w:rsidR="0067656B" w:rsidRDefault="003D5E44" w:rsidP="00631E1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I/we have read this disclosure form and understand that </w:t>
      </w:r>
      <w:proofErr w:type="gramStart"/>
      <w:r>
        <w:rPr>
          <w:color w:val="000000"/>
          <w:sz w:val="22"/>
          <w:szCs w:val="22"/>
        </w:rPr>
        <w:t>referring</w:t>
      </w:r>
      <w:proofErr w:type="gramEnd"/>
      <w:r>
        <w:rPr>
          <w:color w:val="000000"/>
          <w:sz w:val="22"/>
          <w:szCs w:val="22"/>
        </w:rPr>
        <w:t xml:space="preserve"> party is referring me/us to purchase the above-described settlement service(s) and may receive a financial or other benefit as the result of this referral</w:t>
      </w:r>
      <w:r w:rsidR="0067656B">
        <w:rPr>
          <w:color w:val="000000"/>
          <w:sz w:val="22"/>
          <w:szCs w:val="22"/>
        </w:rPr>
        <w:t>.</w:t>
      </w:r>
    </w:p>
    <w:p w14:paraId="701282BA" w14:textId="45C15B61" w:rsidR="001B050B" w:rsidRPr="0067656B" w:rsidRDefault="003D5E44" w:rsidP="00631E1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Signature: </w:t>
      </w:r>
      <w:r w:rsidR="0067656B">
        <w:rPr>
          <w:color w:val="000000"/>
          <w:sz w:val="22"/>
          <w:szCs w:val="22"/>
        </w:rPr>
        <w:t>______________</w:t>
      </w:r>
      <w:r w:rsidR="002C6767">
        <w:rPr>
          <w:color w:val="000000"/>
          <w:sz w:val="22"/>
          <w:szCs w:val="22"/>
        </w:rPr>
        <w:t>_____</w:t>
      </w:r>
      <w:r w:rsidR="0067656B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__________</w:t>
      </w:r>
      <w:r w:rsidR="002C6767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</w:t>
      </w:r>
      <w:r w:rsidR="002C6767">
        <w:rPr>
          <w:color w:val="000000"/>
          <w:sz w:val="22"/>
          <w:szCs w:val="22"/>
        </w:rPr>
        <w:t xml:space="preserve">   Signature: _______________________________________ </w:t>
      </w:r>
    </w:p>
    <w:sectPr w:rsidR="001B050B" w:rsidRPr="0067656B" w:rsidSect="008C674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5E0A" w14:textId="77777777" w:rsidR="008B242C" w:rsidRDefault="003D5E44">
      <w:r>
        <w:separator/>
      </w:r>
    </w:p>
  </w:endnote>
  <w:endnote w:type="continuationSeparator" w:id="0">
    <w:p w14:paraId="73898053" w14:textId="77777777" w:rsidR="008B242C" w:rsidRDefault="003D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C1E7" w14:textId="77777777" w:rsidR="001B050B" w:rsidRDefault="003D5E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0C37" w14:textId="77777777" w:rsidR="008B242C" w:rsidRDefault="003D5E44">
      <w:r>
        <w:separator/>
      </w:r>
    </w:p>
  </w:footnote>
  <w:footnote w:type="continuationSeparator" w:id="0">
    <w:p w14:paraId="7D04D8DD" w14:textId="77777777" w:rsidR="008B242C" w:rsidRDefault="003D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0B"/>
    <w:rsid w:val="00097896"/>
    <w:rsid w:val="000C54A8"/>
    <w:rsid w:val="000D4177"/>
    <w:rsid w:val="000F0E3B"/>
    <w:rsid w:val="00156261"/>
    <w:rsid w:val="001758F7"/>
    <w:rsid w:val="001A3006"/>
    <w:rsid w:val="001B050B"/>
    <w:rsid w:val="002B7FD6"/>
    <w:rsid w:val="002C26D8"/>
    <w:rsid w:val="002C6767"/>
    <w:rsid w:val="002E4434"/>
    <w:rsid w:val="00301410"/>
    <w:rsid w:val="003724E1"/>
    <w:rsid w:val="003C2B8E"/>
    <w:rsid w:val="003D5E44"/>
    <w:rsid w:val="003D7A40"/>
    <w:rsid w:val="003F3D55"/>
    <w:rsid w:val="004014B0"/>
    <w:rsid w:val="004127EE"/>
    <w:rsid w:val="00432B9E"/>
    <w:rsid w:val="00434320"/>
    <w:rsid w:val="0057022D"/>
    <w:rsid w:val="005B119C"/>
    <w:rsid w:val="005F4E48"/>
    <w:rsid w:val="00631E10"/>
    <w:rsid w:val="00654EFA"/>
    <w:rsid w:val="0067656B"/>
    <w:rsid w:val="006B63BB"/>
    <w:rsid w:val="00712C8E"/>
    <w:rsid w:val="00714F53"/>
    <w:rsid w:val="00783515"/>
    <w:rsid w:val="007C40CE"/>
    <w:rsid w:val="007D0289"/>
    <w:rsid w:val="00857778"/>
    <w:rsid w:val="008935C9"/>
    <w:rsid w:val="008967C9"/>
    <w:rsid w:val="008B242C"/>
    <w:rsid w:val="008C2CD4"/>
    <w:rsid w:val="008C674F"/>
    <w:rsid w:val="00983841"/>
    <w:rsid w:val="009C73F6"/>
    <w:rsid w:val="009F0797"/>
    <w:rsid w:val="00A1318E"/>
    <w:rsid w:val="00A82B37"/>
    <w:rsid w:val="00AA342A"/>
    <w:rsid w:val="00AF2BF7"/>
    <w:rsid w:val="00B957B5"/>
    <w:rsid w:val="00C3730B"/>
    <w:rsid w:val="00CB2879"/>
    <w:rsid w:val="00CD7084"/>
    <w:rsid w:val="00D26E48"/>
    <w:rsid w:val="00D5250A"/>
    <w:rsid w:val="00DB48C5"/>
    <w:rsid w:val="00E47794"/>
    <w:rsid w:val="00E7005F"/>
    <w:rsid w:val="00F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B8EF"/>
  <w15:docId w15:val="{AC7092A9-4B53-487C-ABA8-03EF5764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A2"/>
  </w:style>
  <w:style w:type="paragraph" w:styleId="Heading1">
    <w:name w:val="heading 1"/>
    <w:basedOn w:val="Normal"/>
    <w:next w:val="BodyText"/>
    <w:link w:val="Heading1Char"/>
    <w:uiPriority w:val="9"/>
    <w:qFormat/>
    <w:rsid w:val="003057E8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3057E8"/>
    <w:pPr>
      <w:keepNext/>
      <w:spacing w:after="24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3057E8"/>
    <w:pPr>
      <w:keepNext/>
      <w:spacing w:after="24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3057E8"/>
    <w:pPr>
      <w:keepNext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3057E8"/>
    <w:pPr>
      <w:keepNext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3057E8"/>
    <w:pPr>
      <w:keepNext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24"/>
    <w:qFormat/>
    <w:rsid w:val="003057E8"/>
    <w:pPr>
      <w:keepNext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24"/>
    <w:qFormat/>
    <w:rsid w:val="003057E8"/>
    <w:pPr>
      <w:keepNext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24"/>
    <w:qFormat/>
    <w:rsid w:val="003057E8"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3057E8"/>
    <w:pPr>
      <w:keepNext/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paragraph" w:styleId="BodyText">
    <w:name w:val="Body Text"/>
    <w:basedOn w:val="Normal"/>
    <w:link w:val="BodyTextChar"/>
    <w:uiPriority w:val="4"/>
    <w:qFormat/>
    <w:rsid w:val="003057E8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3057E8"/>
    <w:rPr>
      <w:rFonts w:ascii="Times New Roman" w:hAnsi="Times New Roman"/>
    </w:rPr>
  </w:style>
  <w:style w:type="paragraph" w:styleId="BodyText2">
    <w:name w:val="Body Text 2"/>
    <w:basedOn w:val="BodyText"/>
    <w:link w:val="BodyText2Char"/>
    <w:uiPriority w:val="4"/>
    <w:qFormat/>
    <w:rsid w:val="003057E8"/>
  </w:style>
  <w:style w:type="character" w:customStyle="1" w:styleId="BodyText2Char">
    <w:name w:val="Body Text 2 Char"/>
    <w:basedOn w:val="DefaultParagraphFont"/>
    <w:link w:val="BodyText2"/>
    <w:uiPriority w:val="4"/>
    <w:rsid w:val="003057E8"/>
    <w:rPr>
      <w:rFonts w:ascii="Times New Roman" w:hAnsi="Times New Roman"/>
    </w:rPr>
  </w:style>
  <w:style w:type="paragraph" w:styleId="BodyText3">
    <w:name w:val="Body Text 3"/>
    <w:basedOn w:val="BodyText"/>
    <w:link w:val="BodyText3Char"/>
    <w:uiPriority w:val="4"/>
    <w:qFormat/>
    <w:rsid w:val="000B7AB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633C26"/>
    <w:rPr>
      <w:rFonts w:ascii="Times New Roman" w:hAnsi="Times New Roman"/>
      <w:sz w:val="24"/>
      <w:szCs w:val="16"/>
    </w:rPr>
  </w:style>
  <w:style w:type="paragraph" w:styleId="BlockText">
    <w:name w:val="Block Text"/>
    <w:basedOn w:val="Normal"/>
    <w:link w:val="BlockTextChar"/>
    <w:uiPriority w:val="9"/>
    <w:qFormat/>
    <w:rsid w:val="003057E8"/>
    <w:pPr>
      <w:spacing w:after="240"/>
      <w:ind w:left="720" w:right="720"/>
      <w:jc w:val="both"/>
    </w:pPr>
    <w:rPr>
      <w:rFonts w:eastAsiaTheme="minorEastAsia"/>
      <w:iCs/>
    </w:rPr>
  </w:style>
  <w:style w:type="character" w:customStyle="1" w:styleId="BlockTextChar">
    <w:name w:val="Block Text Char"/>
    <w:basedOn w:val="DefaultParagraphFont"/>
    <w:link w:val="BlockText"/>
    <w:uiPriority w:val="9"/>
    <w:rsid w:val="003057E8"/>
    <w:rPr>
      <w:rFonts w:ascii="Times New Roman" w:eastAsiaTheme="minorEastAsia" w:hAnsi="Times New Roman"/>
      <w:iCs/>
    </w:rPr>
  </w:style>
  <w:style w:type="character" w:customStyle="1" w:styleId="TitleChar">
    <w:name w:val="Title Char"/>
    <w:basedOn w:val="DefaultParagraphFont"/>
    <w:link w:val="Title"/>
    <w:uiPriority w:val="14"/>
    <w:rsid w:val="003057E8"/>
    <w:rPr>
      <w:rFonts w:ascii="Times New Roman" w:eastAsiaTheme="majorEastAsia" w:hAnsi="Times New Roman" w:cstheme="majorBidi"/>
      <w:b/>
      <w:caps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spacing w:after="240"/>
      <w:jc w:val="center"/>
    </w:pPr>
    <w:rPr>
      <w:b/>
      <w:smallCaps/>
      <w:u w:val="single"/>
    </w:rPr>
  </w:style>
  <w:style w:type="character" w:customStyle="1" w:styleId="SubtitleChar">
    <w:name w:val="Subtitle Char"/>
    <w:basedOn w:val="DefaultParagraphFont"/>
    <w:link w:val="Subtitle"/>
    <w:uiPriority w:val="19"/>
    <w:rsid w:val="003057E8"/>
    <w:rPr>
      <w:rFonts w:ascii="Times New Roman" w:eastAsiaTheme="majorEastAsia" w:hAnsi="Times New Roman" w:cstheme="majorBidi"/>
      <w:b/>
      <w:iCs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24"/>
    <w:rsid w:val="003057E8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4"/>
    <w:rsid w:val="003057E8"/>
    <w:rPr>
      <w:rFonts w:ascii="Times New Roman" w:eastAsiaTheme="majorEastAsia" w:hAnsi="Times New Roman" w:cstheme="majorBidi"/>
      <w:b/>
      <w:bCs/>
      <w:i/>
      <w:szCs w:val="26"/>
    </w:rPr>
  </w:style>
  <w:style w:type="paragraph" w:styleId="Signature">
    <w:name w:val="Signature"/>
    <w:basedOn w:val="Normal"/>
    <w:link w:val="SignatureChar"/>
    <w:uiPriority w:val="29"/>
    <w:qFormat/>
    <w:rsid w:val="003D3A4D"/>
    <w:pPr>
      <w:tabs>
        <w:tab w:val="right" w:pos="9360"/>
      </w:tabs>
      <w:spacing w:after="240"/>
      <w:ind w:left="4680"/>
    </w:pPr>
  </w:style>
  <w:style w:type="character" w:customStyle="1" w:styleId="Heading3Char">
    <w:name w:val="Heading 3 Char"/>
    <w:basedOn w:val="DefaultParagraphFont"/>
    <w:link w:val="Heading3"/>
    <w:uiPriority w:val="24"/>
    <w:rsid w:val="003057E8"/>
    <w:rPr>
      <w:rFonts w:ascii="Times New Roman" w:eastAsiaTheme="majorEastAsia" w:hAnsi="Times New Roman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24"/>
    <w:rsid w:val="003057E8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24"/>
    <w:rsid w:val="003057E8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24"/>
    <w:rsid w:val="003057E8"/>
    <w:rPr>
      <w:rFonts w:ascii="Times New Roman" w:eastAsiaTheme="majorEastAsia" w:hAnsi="Times New Roman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24"/>
    <w:rsid w:val="003057E8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24"/>
    <w:rsid w:val="003057E8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24"/>
    <w:rsid w:val="003057E8"/>
    <w:rPr>
      <w:rFonts w:ascii="Times New Roman" w:eastAsiaTheme="majorEastAsia" w:hAnsi="Times New Roman" w:cstheme="majorBidi"/>
      <w:iCs/>
      <w:szCs w:val="20"/>
    </w:rPr>
  </w:style>
  <w:style w:type="character" w:customStyle="1" w:styleId="SignatureChar">
    <w:name w:val="Signature Char"/>
    <w:basedOn w:val="DefaultParagraphFont"/>
    <w:link w:val="Signature"/>
    <w:uiPriority w:val="29"/>
    <w:rsid w:val="003D3A4D"/>
    <w:rPr>
      <w:rFonts w:ascii="Times New Roman" w:hAnsi="Times New Roman"/>
    </w:rPr>
  </w:style>
  <w:style w:type="paragraph" w:customStyle="1" w:styleId="TableHeading">
    <w:name w:val="Table Heading"/>
    <w:basedOn w:val="Normal"/>
    <w:link w:val="TableHeadingChar"/>
    <w:uiPriority w:val="29"/>
    <w:qFormat/>
    <w:rsid w:val="00633C26"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uiPriority w:val="29"/>
    <w:rsid w:val="00633C26"/>
    <w:rPr>
      <w:rFonts w:ascii="Times New Roman" w:hAnsi="Times New Roman"/>
      <w:b/>
      <w:sz w:val="24"/>
    </w:rPr>
  </w:style>
  <w:style w:type="paragraph" w:customStyle="1" w:styleId="TableText">
    <w:name w:val="Table Text"/>
    <w:basedOn w:val="Normal"/>
    <w:link w:val="TableTextChar"/>
    <w:uiPriority w:val="29"/>
    <w:qFormat/>
    <w:rsid w:val="00633C26"/>
  </w:style>
  <w:style w:type="character" w:customStyle="1" w:styleId="TableTextChar">
    <w:name w:val="Table Text Char"/>
    <w:basedOn w:val="DefaultParagraphFont"/>
    <w:link w:val="TableText"/>
    <w:uiPriority w:val="29"/>
    <w:rsid w:val="00633C2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34"/>
    <w:qFormat/>
    <w:rsid w:val="0063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  <w:rsid w:val="00633C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34"/>
    <w:qFormat/>
    <w:rsid w:val="0063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4"/>
    <w:rsid w:val="00633C26"/>
    <w:rPr>
      <w:rFonts w:ascii="Times New Roman" w:hAnsi="Times New Roman"/>
      <w:sz w:val="24"/>
    </w:rPr>
  </w:style>
  <w:style w:type="character" w:customStyle="1" w:styleId="DocInfo">
    <w:name w:val="DocInfo"/>
    <w:basedOn w:val="DefaultParagraphFont"/>
    <w:uiPriority w:val="39"/>
    <w:unhideWhenUsed/>
    <w:qFormat/>
    <w:rsid w:val="00633C26"/>
    <w:rPr>
      <w:rFonts w:ascii="Times New Roman" w:hAnsi="Times New Roman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704BA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4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7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53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42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424"/>
    <w:rPr>
      <w:rFonts w:ascii="Times New Roman" w:hAnsi="Times New Roman"/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1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ARTR9t5y/LyIxYt6l0RaBuESw==">AMUW2mVDmUHL5T80k5G+rhYlzfPiVxxHzRCq5rXFtoA29X5R4rWIsCKwPqAF0KcTZ5ItWlcNObSem+cPt3WLUR9jFMPZi0qN9tbim1PhkYX0Q+tz9NvV5vE=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Fulbright &amp; Jaworski LLP</dc:creator>
  <cp:lastModifiedBy>Ryan Humble</cp:lastModifiedBy>
  <cp:revision>4</cp:revision>
  <dcterms:created xsi:type="dcterms:W3CDTF">2024-01-07T21:35:00Z</dcterms:created>
  <dcterms:modified xsi:type="dcterms:W3CDTF">2024-01-08T15:13:00Z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Unknown</vt:lpwstr>
  </property>
  <property fmtid="{D5CDD505-2E9C-101B-9397-08002B2CF9AE}" pid="3" name="xB">
    <vt:lpwstr>ABA Disclosure.docx (referral to Fearon by KWRI representative).docx</vt:lpwstr>
  </property>
  <property fmtid="{D5CDD505-2E9C-101B-9397-08002B2CF9AE}" pid="4" name="xC">
    <vt:lpwstr>Unknown</vt:lpwstr>
  </property>
  <property fmtid="{D5CDD505-2E9C-101B-9397-08002B2CF9AE}" pid="5" name="xD">
    <vt:lpwstr>Unknown</vt:lpwstr>
  </property>
</Properties>
</file>